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68FF" w14:textId="77777777" w:rsidR="0036690D" w:rsidRPr="0089212B"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Privacy Policy</w:t>
      </w:r>
    </w:p>
    <w:p w14:paraId="1494D9D4" w14:textId="2ED1817A" w:rsidR="0036690D" w:rsidRPr="0089212B"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Your personal information is being processed b</w:t>
      </w:r>
      <w:r w:rsidR="00276365">
        <w:rPr>
          <w:rFonts w:eastAsia="Times New Roman" w:cstheme="minorHAnsi"/>
          <w:lang w:val="en" w:eastAsia="en-GB"/>
        </w:rPr>
        <w:t>y Pinxton Parish Council</w:t>
      </w:r>
      <w:r w:rsidR="00C27D72">
        <w:rPr>
          <w:rFonts w:eastAsia="Times New Roman" w:cstheme="minorHAnsi"/>
          <w:lang w:val="en" w:eastAsia="en-GB"/>
        </w:rPr>
        <w:t>.</w:t>
      </w:r>
      <w:r w:rsidR="00800AC0">
        <w:rPr>
          <w:rFonts w:eastAsia="Times New Roman" w:cstheme="minorHAnsi"/>
          <w:lang w:val="en" w:eastAsia="en-GB"/>
        </w:rPr>
        <w:t xml:space="preserve"> </w:t>
      </w:r>
      <w:r w:rsidRPr="0089212B">
        <w:rPr>
          <w:rFonts w:eastAsia="Times New Roman" w:cstheme="minorHAnsi"/>
          <w:lang w:val="en" w:eastAsia="en-GB"/>
        </w:rPr>
        <w:t>We are devoted to managing personal information in line with current legislation and best practice, this includes the new General Data Protection Regulation (GDPR) which is active from May 25th, 2018. Whenever you provide personal information, we will treat information in accordance with our privacy policy.</w:t>
      </w:r>
    </w:p>
    <w:p w14:paraId="2D754FAA" w14:textId="77777777" w:rsidR="0036690D" w:rsidRPr="0089212B"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Description of processing</w:t>
      </w:r>
    </w:p>
    <w:p w14:paraId="087E08B3" w14:textId="77777777" w:rsidR="0036690D" w:rsidRPr="0089212B"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The following is a broad description of the way this organisation processes personal information: </w:t>
      </w:r>
    </w:p>
    <w:p w14:paraId="662069A1" w14:textId="77777777" w:rsidR="0036690D" w:rsidRPr="0089212B"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Reasons/purposes for processing information</w:t>
      </w:r>
    </w:p>
    <w:p w14:paraId="048144F2" w14:textId="77777777" w:rsidR="00F64EE4" w:rsidRPr="00C27D72" w:rsidRDefault="0036690D" w:rsidP="0036690D">
      <w:pPr>
        <w:spacing w:before="100" w:beforeAutospacing="1" w:after="100" w:afterAutospacing="1" w:line="240" w:lineRule="auto"/>
        <w:rPr>
          <w:rFonts w:eastAsia="Times New Roman" w:cstheme="minorHAnsi"/>
          <w:color w:val="FF0000"/>
          <w:lang w:val="en" w:eastAsia="en-GB"/>
        </w:rPr>
      </w:pPr>
      <w:r w:rsidRPr="0089212B">
        <w:rPr>
          <w:rFonts w:eastAsia="Times New Roman" w:cstheme="minorHAnsi"/>
          <w:lang w:val="en" w:eastAsia="en-GB"/>
        </w:rPr>
        <w:t xml:space="preserve">We process personal information to enable us to provide </w:t>
      </w:r>
      <w:r w:rsidRPr="00C27D72">
        <w:rPr>
          <w:rFonts w:eastAsia="Times New Roman" w:cstheme="minorHAnsi"/>
          <w:color w:val="FF0000"/>
          <w:lang w:val="en" w:eastAsia="en-GB"/>
        </w:rPr>
        <w:t>…</w:t>
      </w:r>
    </w:p>
    <w:p w14:paraId="6E3EAA43" w14:textId="77777777" w:rsidR="00F64EE4" w:rsidRPr="0089212B" w:rsidRDefault="00F64EE4" w:rsidP="00F64EE4">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Type/classes of information processed</w:t>
      </w:r>
      <w:r w:rsidRPr="0089212B">
        <w:rPr>
          <w:rFonts w:eastAsia="Times New Roman" w:cstheme="minorHAnsi"/>
          <w:lang w:val="en" w:eastAsia="en-GB"/>
        </w:rPr>
        <w:br/>
        <w:t xml:space="preserve">We process information relating to the above reasons/purposes. This information may include: </w:t>
      </w:r>
    </w:p>
    <w:p w14:paraId="7516CEF0" w14:textId="77777777" w:rsidR="00F64EE4" w:rsidRPr="004577D6"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4577D6">
        <w:rPr>
          <w:rFonts w:eastAsia="Times New Roman" w:cstheme="minorHAnsi"/>
          <w:lang w:val="en" w:eastAsia="en-GB"/>
        </w:rPr>
        <w:t xml:space="preserve">personal details </w:t>
      </w:r>
    </w:p>
    <w:p w14:paraId="070DBE1C" w14:textId="77777777" w:rsidR="00F64EE4" w:rsidRPr="004577D6"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4577D6">
        <w:rPr>
          <w:rFonts w:eastAsia="Times New Roman" w:cstheme="minorHAnsi"/>
          <w:lang w:val="en" w:eastAsia="en-GB"/>
        </w:rPr>
        <w:t xml:space="preserve">family, lifestyle and social circumstances </w:t>
      </w:r>
    </w:p>
    <w:p w14:paraId="3542E175" w14:textId="77777777" w:rsidR="00F64EE4" w:rsidRPr="004577D6"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4577D6">
        <w:rPr>
          <w:rFonts w:eastAsia="Times New Roman" w:cstheme="minorHAnsi"/>
          <w:lang w:val="en" w:eastAsia="en-GB"/>
        </w:rPr>
        <w:t xml:space="preserve">goods and services </w:t>
      </w:r>
    </w:p>
    <w:p w14:paraId="61D02290" w14:textId="77777777" w:rsidR="00F64EE4" w:rsidRPr="004577D6"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4577D6">
        <w:rPr>
          <w:rFonts w:eastAsia="Times New Roman" w:cstheme="minorHAnsi"/>
          <w:lang w:val="en" w:eastAsia="en-GB"/>
        </w:rPr>
        <w:t xml:space="preserve">financial details </w:t>
      </w:r>
    </w:p>
    <w:p w14:paraId="08CADF15" w14:textId="77777777" w:rsidR="00F64EE4" w:rsidRPr="004577D6"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4577D6">
        <w:rPr>
          <w:rFonts w:eastAsia="Times New Roman" w:cstheme="minorHAnsi"/>
          <w:lang w:val="en" w:eastAsia="en-GB"/>
        </w:rPr>
        <w:t xml:space="preserve">education details </w:t>
      </w:r>
    </w:p>
    <w:p w14:paraId="69DCEA44" w14:textId="77777777" w:rsidR="00F64EE4" w:rsidRPr="004577D6"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4577D6">
        <w:rPr>
          <w:rFonts w:eastAsia="Times New Roman" w:cstheme="minorHAnsi"/>
          <w:lang w:val="en" w:eastAsia="en-GB"/>
        </w:rPr>
        <w:t>employment details</w:t>
      </w:r>
    </w:p>
    <w:p w14:paraId="5B141109" w14:textId="77777777" w:rsidR="00F64EE4" w:rsidRPr="0089212B" w:rsidRDefault="00F64EE4" w:rsidP="00F64EE4">
      <w:pPr>
        <w:spacing w:after="0" w:line="240" w:lineRule="auto"/>
        <w:rPr>
          <w:rFonts w:eastAsia="Times New Roman" w:cstheme="minorHAnsi"/>
          <w:lang w:val="en" w:eastAsia="en-GB"/>
        </w:rPr>
      </w:pPr>
      <w:r w:rsidRPr="0089212B">
        <w:rPr>
          <w:rFonts w:eastAsia="Times New Roman" w:cstheme="minorHAnsi"/>
          <w:lang w:val="en" w:eastAsia="en-GB"/>
        </w:rPr>
        <w:t xml:space="preserve">We also process sensitive classes of information that may include: </w:t>
      </w:r>
    </w:p>
    <w:p w14:paraId="2BDE7A69" w14:textId="77777777" w:rsidR="00F64EE4" w:rsidRPr="00654820" w:rsidRDefault="00F64EE4" w:rsidP="00F64EE4">
      <w:pPr>
        <w:numPr>
          <w:ilvl w:val="0"/>
          <w:numId w:val="2"/>
        </w:numPr>
        <w:spacing w:before="100" w:beforeAutospacing="1" w:after="100" w:afterAutospacing="1" w:line="240" w:lineRule="auto"/>
        <w:rPr>
          <w:rFonts w:eastAsia="Times New Roman" w:cstheme="minorHAnsi"/>
          <w:lang w:val="en" w:eastAsia="en-GB"/>
        </w:rPr>
      </w:pPr>
      <w:r w:rsidRPr="00654820">
        <w:rPr>
          <w:rFonts w:eastAsia="Times New Roman" w:cstheme="minorHAnsi"/>
          <w:lang w:val="en" w:eastAsia="en-GB"/>
        </w:rPr>
        <w:t xml:space="preserve">physical or mental health details </w:t>
      </w:r>
    </w:p>
    <w:p w14:paraId="110AD674" w14:textId="77777777" w:rsidR="00F64EE4" w:rsidRPr="00654820" w:rsidRDefault="00F64EE4" w:rsidP="00F64EE4">
      <w:pPr>
        <w:numPr>
          <w:ilvl w:val="0"/>
          <w:numId w:val="2"/>
        </w:numPr>
        <w:spacing w:before="100" w:beforeAutospacing="1" w:after="100" w:afterAutospacing="1" w:line="240" w:lineRule="auto"/>
        <w:rPr>
          <w:rFonts w:eastAsia="Times New Roman" w:cstheme="minorHAnsi"/>
          <w:lang w:val="en" w:eastAsia="en-GB"/>
        </w:rPr>
      </w:pPr>
      <w:r w:rsidRPr="00654820">
        <w:rPr>
          <w:rFonts w:eastAsia="Times New Roman" w:cstheme="minorHAnsi"/>
          <w:lang w:val="en" w:eastAsia="en-GB"/>
        </w:rPr>
        <w:t xml:space="preserve">racial or ethnic origin </w:t>
      </w:r>
    </w:p>
    <w:p w14:paraId="67D1DE7B" w14:textId="77777777" w:rsidR="00F64EE4" w:rsidRPr="00654820" w:rsidRDefault="00F64EE4" w:rsidP="00F64EE4">
      <w:pPr>
        <w:numPr>
          <w:ilvl w:val="0"/>
          <w:numId w:val="2"/>
        </w:numPr>
        <w:spacing w:before="100" w:beforeAutospacing="1" w:after="100" w:afterAutospacing="1" w:line="240" w:lineRule="auto"/>
        <w:rPr>
          <w:rFonts w:eastAsia="Times New Roman" w:cstheme="minorHAnsi"/>
          <w:lang w:val="en" w:eastAsia="en-GB"/>
        </w:rPr>
      </w:pPr>
      <w:r w:rsidRPr="00654820">
        <w:rPr>
          <w:rFonts w:eastAsia="Times New Roman" w:cstheme="minorHAnsi"/>
          <w:lang w:val="en" w:eastAsia="en-GB"/>
        </w:rPr>
        <w:t xml:space="preserve">religious or other beliefs </w:t>
      </w:r>
    </w:p>
    <w:p w14:paraId="7950F351" w14:textId="77777777" w:rsidR="00F64EE4" w:rsidRPr="00654820" w:rsidRDefault="00F64EE4" w:rsidP="00F64EE4">
      <w:pPr>
        <w:numPr>
          <w:ilvl w:val="0"/>
          <w:numId w:val="2"/>
        </w:numPr>
        <w:spacing w:before="100" w:beforeAutospacing="1" w:after="100" w:afterAutospacing="1" w:line="240" w:lineRule="auto"/>
        <w:rPr>
          <w:rFonts w:eastAsia="Times New Roman" w:cstheme="minorHAnsi"/>
          <w:lang w:val="en" w:eastAsia="en-GB"/>
        </w:rPr>
      </w:pPr>
      <w:r w:rsidRPr="00654820">
        <w:rPr>
          <w:rFonts w:eastAsia="Times New Roman" w:cstheme="minorHAnsi"/>
          <w:lang w:val="en" w:eastAsia="en-GB"/>
        </w:rPr>
        <w:t xml:space="preserve">trade union membership </w:t>
      </w:r>
    </w:p>
    <w:p w14:paraId="31935413" w14:textId="77777777" w:rsidR="00F64EE4" w:rsidRPr="0089212B" w:rsidRDefault="00F64EE4" w:rsidP="00F64EE4">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Who the information is processed about</w:t>
      </w:r>
      <w:r w:rsidRPr="0089212B">
        <w:rPr>
          <w:rFonts w:eastAsia="Times New Roman" w:cstheme="minorHAnsi"/>
          <w:lang w:val="en" w:eastAsia="en-GB"/>
        </w:rPr>
        <w:br/>
        <w:t>We process personal information about customers and clients, advisers and other professional experts and employees.</w:t>
      </w:r>
    </w:p>
    <w:p w14:paraId="7C0D3B3C" w14:textId="77777777" w:rsidR="00F64EE4" w:rsidRPr="0089212B" w:rsidRDefault="00F64EE4" w:rsidP="00F64EE4">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Who the information may be shared with</w:t>
      </w:r>
      <w:r w:rsidRPr="0089212B">
        <w:rPr>
          <w:rFonts w:eastAsia="Times New Roman" w:cstheme="minorHAnsi"/>
          <w:lang w:val="en" w:eastAsia="en-GB"/>
        </w:rPr>
        <w:br/>
        <w:t xml:space="preserve">We sometimes need to share the personal information we process with the individual </w:t>
      </w:r>
      <w:r w:rsidR="0036690D" w:rsidRPr="0089212B">
        <w:rPr>
          <w:rFonts w:eastAsia="Times New Roman" w:cstheme="minorHAnsi"/>
          <w:lang w:val="en" w:eastAsia="en-GB"/>
        </w:rPr>
        <w:t>them self</w:t>
      </w:r>
      <w:r w:rsidRPr="0089212B">
        <w:rPr>
          <w:rFonts w:eastAsia="Times New Roman" w:cstheme="minorHAnsi"/>
          <w:lang w:val="en" w:eastAsia="en-GB"/>
        </w:rPr>
        <w:t xml:space="preserve"> and with other organisations. Where this is necessary we are required to comply with all aspects of </w:t>
      </w:r>
      <w:r w:rsidR="006E7611" w:rsidRPr="0089212B">
        <w:rPr>
          <w:rFonts w:eastAsia="Times New Roman" w:cstheme="minorHAnsi"/>
          <w:lang w:val="en" w:eastAsia="en-GB"/>
        </w:rPr>
        <w:t>GDPR</w:t>
      </w:r>
      <w:r w:rsidRPr="0089212B">
        <w:rPr>
          <w:rFonts w:eastAsia="Times New Roman" w:cstheme="minorHAnsi"/>
          <w:lang w:val="en" w:eastAsia="en-GB"/>
        </w:rPr>
        <w:t xml:space="preserve">. What follows is a description of the types of organisations we may need to share some of the personal information we process with for one or more reasons. Where necessary or required we share information with: </w:t>
      </w:r>
    </w:p>
    <w:p w14:paraId="22A660F0"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 xml:space="preserve">business associates, professional advisers </w:t>
      </w:r>
    </w:p>
    <w:p w14:paraId="63E19FA4"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 xml:space="preserve">family, associates and representatives of the person whose personal data we are processing </w:t>
      </w:r>
    </w:p>
    <w:p w14:paraId="61B64937"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 xml:space="preserve">suppliers </w:t>
      </w:r>
    </w:p>
    <w:p w14:paraId="2923BFBD"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 xml:space="preserve">local and central government </w:t>
      </w:r>
    </w:p>
    <w:p w14:paraId="5B7F79B2"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 xml:space="preserve">financial organisations </w:t>
      </w:r>
    </w:p>
    <w:p w14:paraId="446C78CE"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 xml:space="preserve">ombudsmen and regulatory authorities </w:t>
      </w:r>
    </w:p>
    <w:p w14:paraId="10635A32"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 xml:space="preserve">credit reference and debt collection agencies </w:t>
      </w:r>
    </w:p>
    <w:p w14:paraId="4E87DE18"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 xml:space="preserve">healthcare professionals, social and welfare organisations </w:t>
      </w:r>
    </w:p>
    <w:p w14:paraId="4D6025D2"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lastRenderedPageBreak/>
        <w:t xml:space="preserve">current, past or prospective employers </w:t>
      </w:r>
    </w:p>
    <w:p w14:paraId="7C97C0BA"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 xml:space="preserve">examining bodies </w:t>
      </w:r>
    </w:p>
    <w:p w14:paraId="64C99ECC" w14:textId="77777777" w:rsidR="00F64EE4" w:rsidRPr="00A03D22"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A03D22">
        <w:rPr>
          <w:rFonts w:eastAsia="Times New Roman" w:cstheme="minorHAnsi"/>
          <w:lang w:val="en" w:eastAsia="en-GB"/>
        </w:rPr>
        <w:t>service providers</w:t>
      </w:r>
    </w:p>
    <w:p w14:paraId="25DDE26F" w14:textId="77777777" w:rsidR="00F64EE4" w:rsidRPr="0089212B" w:rsidRDefault="0036690D">
      <w:pPr>
        <w:rPr>
          <w:rFonts w:cstheme="minorHAnsi"/>
          <w:b/>
          <w:u w:val="single"/>
        </w:rPr>
      </w:pPr>
      <w:r w:rsidRPr="0089212B">
        <w:rPr>
          <w:rFonts w:cstheme="minorHAnsi"/>
          <w:b/>
          <w:u w:val="single"/>
        </w:rPr>
        <w:t xml:space="preserve">Retention policy </w:t>
      </w:r>
    </w:p>
    <w:tbl>
      <w:tblPr>
        <w:tblStyle w:val="TableGrid"/>
        <w:tblW w:w="9351" w:type="dxa"/>
        <w:tblInd w:w="0" w:type="dxa"/>
        <w:tblCellMar>
          <w:top w:w="61" w:type="dxa"/>
          <w:left w:w="108" w:type="dxa"/>
          <w:right w:w="29" w:type="dxa"/>
        </w:tblCellMar>
        <w:tblLook w:val="04A0" w:firstRow="1" w:lastRow="0" w:firstColumn="1" w:lastColumn="0" w:noHBand="0" w:noVBand="1"/>
      </w:tblPr>
      <w:tblGrid>
        <w:gridCol w:w="2620"/>
        <w:gridCol w:w="6731"/>
      </w:tblGrid>
      <w:tr w:rsidR="0089212B" w:rsidRPr="0089212B" w14:paraId="4EEABE3D" w14:textId="77777777" w:rsidTr="00CC6458">
        <w:trPr>
          <w:trHeight w:val="355"/>
        </w:trPr>
        <w:tc>
          <w:tcPr>
            <w:tcW w:w="2620" w:type="dxa"/>
            <w:tcBorders>
              <w:top w:val="single" w:sz="4" w:space="0" w:color="000000"/>
              <w:left w:val="single" w:sz="4" w:space="0" w:color="000000"/>
              <w:bottom w:val="single" w:sz="4" w:space="0" w:color="000000"/>
              <w:right w:val="single" w:sz="4" w:space="0" w:color="000000"/>
            </w:tcBorders>
          </w:tcPr>
          <w:p w14:paraId="4C448C7F" w14:textId="77777777" w:rsidR="00544C0A" w:rsidRPr="0089212B" w:rsidRDefault="00544C0A" w:rsidP="00CC6458">
            <w:pPr>
              <w:rPr>
                <w:rFonts w:eastAsia="Verdana" w:cstheme="minorHAnsi"/>
                <w:b/>
              </w:rPr>
            </w:pPr>
            <w:r w:rsidRPr="0089212B">
              <w:rPr>
                <w:rFonts w:eastAsia="Verdana" w:cstheme="minorHAnsi"/>
                <w:b/>
              </w:rPr>
              <w:t>Retention Period</w:t>
            </w:r>
          </w:p>
          <w:p w14:paraId="7CCECB9C" w14:textId="77777777" w:rsidR="00544C0A" w:rsidRPr="0089212B" w:rsidRDefault="00544C0A" w:rsidP="00CC6458">
            <w:pPr>
              <w:rPr>
                <w:rFonts w:eastAsia="Verdana" w:cstheme="minorHAnsi"/>
              </w:rPr>
            </w:pPr>
          </w:p>
          <w:p w14:paraId="246619F5" w14:textId="77777777" w:rsidR="00544C0A" w:rsidRPr="0089212B" w:rsidRDefault="00544C0A" w:rsidP="00CC6458">
            <w:pPr>
              <w:rPr>
                <w:rFonts w:eastAsia="Verdana" w:cstheme="minorHAnsi"/>
              </w:rPr>
            </w:pPr>
          </w:p>
          <w:p w14:paraId="7BFE9043" w14:textId="77777777" w:rsidR="00544C0A" w:rsidRPr="0089212B" w:rsidRDefault="00544C0A" w:rsidP="00CC6458">
            <w:pPr>
              <w:rPr>
                <w:rFonts w:eastAsia="Verdana" w:cstheme="minorHAnsi"/>
              </w:rPr>
            </w:pPr>
          </w:p>
          <w:p w14:paraId="6FF14662" w14:textId="77777777" w:rsidR="00544C0A" w:rsidRPr="0089212B" w:rsidRDefault="00544C0A" w:rsidP="00CC6458">
            <w:pPr>
              <w:jc w:val="right"/>
              <w:rPr>
                <w:rFonts w:eastAsia="Verdana" w:cstheme="minorHAnsi"/>
              </w:rPr>
            </w:pPr>
          </w:p>
        </w:tc>
        <w:tc>
          <w:tcPr>
            <w:tcW w:w="6731" w:type="dxa"/>
            <w:tcBorders>
              <w:top w:val="single" w:sz="4" w:space="0" w:color="000000"/>
              <w:left w:val="single" w:sz="4" w:space="0" w:color="000000"/>
              <w:bottom w:val="single" w:sz="4" w:space="0" w:color="000000"/>
              <w:right w:val="single" w:sz="4" w:space="0" w:color="000000"/>
            </w:tcBorders>
          </w:tcPr>
          <w:p w14:paraId="16261B1C" w14:textId="01820889" w:rsidR="00544C0A" w:rsidRPr="0089212B" w:rsidRDefault="00D81A75" w:rsidP="00CC6458">
            <w:pPr>
              <w:rPr>
                <w:rFonts w:eastAsia="Verdana" w:cstheme="minorHAnsi"/>
              </w:rPr>
            </w:pPr>
            <w:r w:rsidRPr="00A03D22">
              <w:rPr>
                <w:rFonts w:eastAsia="Verdana" w:cstheme="minorHAnsi"/>
              </w:rPr>
              <w:t>Our retention policy can be obtained by contacting the clerk, or visiting our website.</w:t>
            </w:r>
          </w:p>
        </w:tc>
      </w:tr>
      <w:tr w:rsidR="0089212B" w:rsidRPr="0089212B" w14:paraId="10DE8CCD" w14:textId="77777777" w:rsidTr="00CC6458">
        <w:trPr>
          <w:trHeight w:val="497"/>
        </w:trPr>
        <w:tc>
          <w:tcPr>
            <w:tcW w:w="2620" w:type="dxa"/>
            <w:tcBorders>
              <w:top w:val="single" w:sz="4" w:space="0" w:color="000000"/>
              <w:left w:val="single" w:sz="4" w:space="0" w:color="000000"/>
              <w:bottom w:val="single" w:sz="4" w:space="0" w:color="000000"/>
              <w:right w:val="single" w:sz="4" w:space="0" w:color="000000"/>
            </w:tcBorders>
          </w:tcPr>
          <w:p w14:paraId="1E91056D" w14:textId="77777777" w:rsidR="00544C0A" w:rsidRPr="0089212B" w:rsidRDefault="00544C0A" w:rsidP="00CC6458">
            <w:pPr>
              <w:rPr>
                <w:rFonts w:eastAsia="Verdana" w:cstheme="minorHAnsi"/>
                <w:b/>
              </w:rPr>
            </w:pPr>
            <w:r w:rsidRPr="0089212B">
              <w:rPr>
                <w:rFonts w:eastAsia="Verdana" w:cstheme="minorHAnsi"/>
                <w:b/>
              </w:rPr>
              <w:t>Where stored:</w:t>
            </w:r>
          </w:p>
        </w:tc>
        <w:tc>
          <w:tcPr>
            <w:tcW w:w="6731" w:type="dxa"/>
            <w:tcBorders>
              <w:top w:val="single" w:sz="4" w:space="0" w:color="000000"/>
              <w:left w:val="single" w:sz="4" w:space="0" w:color="000000"/>
              <w:bottom w:val="single" w:sz="4" w:space="0" w:color="000000"/>
              <w:right w:val="single" w:sz="4" w:space="0" w:color="000000"/>
            </w:tcBorders>
          </w:tcPr>
          <w:p w14:paraId="3C89E337" w14:textId="77777777" w:rsidR="00544C0A" w:rsidRPr="0089212B" w:rsidRDefault="00544C0A" w:rsidP="00CC6458">
            <w:pPr>
              <w:rPr>
                <w:rFonts w:eastAsia="Verdana" w:cstheme="minorHAnsi"/>
              </w:rPr>
            </w:pPr>
            <w:r w:rsidRPr="0089212B">
              <w:rPr>
                <w:rFonts w:eastAsia="Verdana" w:cstheme="minorHAnsi"/>
              </w:rPr>
              <w:t>Electronic, paper</w:t>
            </w:r>
          </w:p>
        </w:tc>
      </w:tr>
      <w:tr w:rsidR="0089212B" w:rsidRPr="0089212B" w14:paraId="4023A03A" w14:textId="77777777" w:rsidTr="00CC6458">
        <w:trPr>
          <w:trHeight w:val="302"/>
        </w:trPr>
        <w:tc>
          <w:tcPr>
            <w:tcW w:w="2620" w:type="dxa"/>
            <w:tcBorders>
              <w:top w:val="single" w:sz="4" w:space="0" w:color="000000"/>
              <w:left w:val="single" w:sz="4" w:space="0" w:color="000000"/>
              <w:bottom w:val="single" w:sz="4" w:space="0" w:color="000000"/>
              <w:right w:val="single" w:sz="4" w:space="0" w:color="000000"/>
            </w:tcBorders>
          </w:tcPr>
          <w:p w14:paraId="44CC4374" w14:textId="77777777" w:rsidR="00544C0A" w:rsidRPr="0089212B" w:rsidRDefault="00544C0A" w:rsidP="00CC6458">
            <w:pPr>
              <w:rPr>
                <w:rFonts w:eastAsia="Verdana" w:cstheme="minorHAnsi"/>
                <w:b/>
              </w:rPr>
            </w:pPr>
            <w:r w:rsidRPr="0089212B">
              <w:rPr>
                <w:rFonts w:eastAsia="Verdana" w:cstheme="minorHAnsi"/>
                <w:b/>
              </w:rPr>
              <w:t>Authority:</w:t>
            </w:r>
          </w:p>
        </w:tc>
        <w:tc>
          <w:tcPr>
            <w:tcW w:w="6731" w:type="dxa"/>
            <w:tcBorders>
              <w:top w:val="single" w:sz="4" w:space="0" w:color="000000"/>
              <w:left w:val="single" w:sz="4" w:space="0" w:color="000000"/>
              <w:bottom w:val="single" w:sz="4" w:space="0" w:color="000000"/>
              <w:right w:val="single" w:sz="4" w:space="0" w:color="000000"/>
            </w:tcBorders>
          </w:tcPr>
          <w:p w14:paraId="6B448EB5" w14:textId="60824BEA" w:rsidR="00544C0A" w:rsidRPr="0089212B" w:rsidRDefault="00313C1D" w:rsidP="00CC6458">
            <w:pPr>
              <w:rPr>
                <w:rFonts w:eastAsia="Verdana" w:cstheme="minorHAnsi"/>
              </w:rPr>
            </w:pPr>
            <w:r>
              <w:rPr>
                <w:rFonts w:eastAsia="Verdana" w:cstheme="minorHAnsi"/>
              </w:rPr>
              <w:t>Pinxton Parish Council</w:t>
            </w:r>
          </w:p>
        </w:tc>
      </w:tr>
      <w:tr w:rsidR="0089212B" w:rsidRPr="0089212B" w14:paraId="23C9C07A" w14:textId="77777777" w:rsidTr="00CC6458">
        <w:trPr>
          <w:trHeight w:val="406"/>
        </w:trPr>
        <w:tc>
          <w:tcPr>
            <w:tcW w:w="2620" w:type="dxa"/>
            <w:tcBorders>
              <w:top w:val="single" w:sz="4" w:space="0" w:color="000000"/>
              <w:left w:val="single" w:sz="4" w:space="0" w:color="000000"/>
              <w:bottom w:val="single" w:sz="4" w:space="0" w:color="000000"/>
              <w:right w:val="single" w:sz="4" w:space="0" w:color="000000"/>
            </w:tcBorders>
          </w:tcPr>
          <w:p w14:paraId="31C6AF42" w14:textId="77777777" w:rsidR="00544C0A" w:rsidRPr="0089212B" w:rsidRDefault="00544C0A" w:rsidP="00CC6458">
            <w:pPr>
              <w:rPr>
                <w:rFonts w:eastAsia="Verdana" w:cstheme="minorHAnsi"/>
                <w:b/>
              </w:rPr>
            </w:pPr>
            <w:r w:rsidRPr="0089212B">
              <w:rPr>
                <w:rFonts w:eastAsia="Verdana" w:cstheme="minorHAnsi"/>
                <w:b/>
              </w:rPr>
              <w:t>Information Asset Owner:</w:t>
            </w:r>
          </w:p>
        </w:tc>
        <w:tc>
          <w:tcPr>
            <w:tcW w:w="6731" w:type="dxa"/>
            <w:tcBorders>
              <w:top w:val="single" w:sz="4" w:space="0" w:color="000000"/>
              <w:left w:val="single" w:sz="4" w:space="0" w:color="000000"/>
              <w:bottom w:val="single" w:sz="4" w:space="0" w:color="000000"/>
              <w:right w:val="single" w:sz="4" w:space="0" w:color="000000"/>
            </w:tcBorders>
          </w:tcPr>
          <w:p w14:paraId="2E3E36D1" w14:textId="35978D22" w:rsidR="00544C0A" w:rsidRPr="0089212B" w:rsidRDefault="00313C1D" w:rsidP="00CC6458">
            <w:pPr>
              <w:tabs>
                <w:tab w:val="left" w:pos="1677"/>
              </w:tabs>
              <w:rPr>
                <w:rFonts w:eastAsia="Verdana" w:cstheme="minorHAnsi"/>
              </w:rPr>
            </w:pPr>
            <w:r>
              <w:rPr>
                <w:rFonts w:eastAsia="Verdana" w:cstheme="minorHAnsi"/>
              </w:rPr>
              <w:t>Pinxton Parish Council</w:t>
            </w:r>
          </w:p>
        </w:tc>
      </w:tr>
      <w:tr w:rsidR="0089212B" w:rsidRPr="0089212B" w14:paraId="1254734A" w14:textId="77777777" w:rsidTr="00CC6458">
        <w:trPr>
          <w:trHeight w:val="302"/>
        </w:trPr>
        <w:tc>
          <w:tcPr>
            <w:tcW w:w="2620" w:type="dxa"/>
            <w:tcBorders>
              <w:top w:val="single" w:sz="4" w:space="0" w:color="000000"/>
              <w:left w:val="single" w:sz="4" w:space="0" w:color="000000"/>
              <w:bottom w:val="single" w:sz="4" w:space="0" w:color="000000"/>
              <w:right w:val="single" w:sz="4" w:space="0" w:color="000000"/>
            </w:tcBorders>
          </w:tcPr>
          <w:p w14:paraId="0DE9C5EA" w14:textId="77777777" w:rsidR="00544C0A" w:rsidRPr="0089212B" w:rsidRDefault="00544C0A" w:rsidP="00CC6458">
            <w:pPr>
              <w:rPr>
                <w:rFonts w:eastAsia="Verdana" w:cstheme="minorHAnsi"/>
                <w:b/>
              </w:rPr>
            </w:pPr>
            <w:r w:rsidRPr="0089212B">
              <w:rPr>
                <w:rFonts w:eastAsia="Verdana" w:cstheme="minorHAnsi"/>
                <w:b/>
              </w:rPr>
              <w:t>Location Held:</w:t>
            </w:r>
          </w:p>
        </w:tc>
        <w:tc>
          <w:tcPr>
            <w:tcW w:w="6731" w:type="dxa"/>
            <w:tcBorders>
              <w:top w:val="single" w:sz="4" w:space="0" w:color="000000"/>
              <w:left w:val="single" w:sz="4" w:space="0" w:color="000000"/>
              <w:bottom w:val="single" w:sz="4" w:space="0" w:color="000000"/>
              <w:right w:val="single" w:sz="4" w:space="0" w:color="000000"/>
            </w:tcBorders>
          </w:tcPr>
          <w:p w14:paraId="5C5A6152" w14:textId="32E21173" w:rsidR="00544C0A" w:rsidRPr="0089212B" w:rsidRDefault="00D81A75" w:rsidP="00CC6458">
            <w:pPr>
              <w:rPr>
                <w:rFonts w:eastAsia="Verdana" w:cstheme="minorHAnsi"/>
              </w:rPr>
            </w:pPr>
            <w:r>
              <w:rPr>
                <w:rFonts w:eastAsia="Verdana" w:cstheme="minorHAnsi"/>
              </w:rPr>
              <w:t>Electronically  or</w:t>
            </w:r>
            <w:r w:rsidR="00544C0A" w:rsidRPr="0089212B">
              <w:rPr>
                <w:rFonts w:eastAsia="Verdana" w:cstheme="minorHAnsi"/>
              </w:rPr>
              <w:t xml:space="preserve"> Secure File</w:t>
            </w:r>
          </w:p>
        </w:tc>
      </w:tr>
      <w:tr w:rsidR="0089212B" w:rsidRPr="0089212B" w14:paraId="033DE93D" w14:textId="77777777" w:rsidTr="00CC6458">
        <w:trPr>
          <w:trHeight w:val="404"/>
        </w:trPr>
        <w:tc>
          <w:tcPr>
            <w:tcW w:w="2620" w:type="dxa"/>
            <w:tcBorders>
              <w:top w:val="single" w:sz="4" w:space="0" w:color="000000"/>
              <w:left w:val="single" w:sz="4" w:space="0" w:color="000000"/>
              <w:bottom w:val="single" w:sz="4" w:space="0" w:color="000000"/>
              <w:right w:val="single" w:sz="4" w:space="0" w:color="000000"/>
            </w:tcBorders>
          </w:tcPr>
          <w:p w14:paraId="4CD791F5" w14:textId="77777777" w:rsidR="00544C0A" w:rsidRPr="0089212B" w:rsidRDefault="00544C0A" w:rsidP="00CC6458">
            <w:pPr>
              <w:rPr>
                <w:rFonts w:eastAsia="Verdana" w:cstheme="minorHAnsi"/>
                <w:b/>
              </w:rPr>
            </w:pPr>
            <w:r w:rsidRPr="0089212B">
              <w:rPr>
                <w:rFonts w:eastAsia="Verdana" w:cstheme="minorHAnsi"/>
                <w:b/>
              </w:rPr>
              <w:t>Permanent Preservation:</w:t>
            </w:r>
          </w:p>
        </w:tc>
        <w:tc>
          <w:tcPr>
            <w:tcW w:w="6731" w:type="dxa"/>
            <w:tcBorders>
              <w:top w:val="single" w:sz="4" w:space="0" w:color="000000"/>
              <w:left w:val="single" w:sz="4" w:space="0" w:color="000000"/>
              <w:bottom w:val="single" w:sz="4" w:space="0" w:color="000000"/>
              <w:right w:val="single" w:sz="4" w:space="0" w:color="000000"/>
            </w:tcBorders>
          </w:tcPr>
          <w:p w14:paraId="05074710" w14:textId="77777777" w:rsidR="00544C0A" w:rsidRPr="0089212B" w:rsidRDefault="00544C0A" w:rsidP="00CC6458">
            <w:pPr>
              <w:rPr>
                <w:rFonts w:eastAsia="Verdana" w:cstheme="minorHAnsi"/>
              </w:rPr>
            </w:pPr>
            <w:r w:rsidRPr="0089212B">
              <w:rPr>
                <w:rFonts w:eastAsia="Verdana" w:cstheme="minorHAnsi"/>
              </w:rPr>
              <w:t>No</w:t>
            </w:r>
          </w:p>
        </w:tc>
      </w:tr>
      <w:tr w:rsidR="0089212B" w:rsidRPr="0089212B" w14:paraId="3B67456E" w14:textId="77777777" w:rsidTr="00CC6458">
        <w:trPr>
          <w:trHeight w:val="362"/>
        </w:trPr>
        <w:tc>
          <w:tcPr>
            <w:tcW w:w="2620" w:type="dxa"/>
            <w:tcBorders>
              <w:top w:val="single" w:sz="4" w:space="0" w:color="000000"/>
              <w:left w:val="single" w:sz="4" w:space="0" w:color="000000"/>
              <w:bottom w:val="single" w:sz="4" w:space="0" w:color="000000"/>
              <w:right w:val="single" w:sz="4" w:space="0" w:color="000000"/>
            </w:tcBorders>
          </w:tcPr>
          <w:p w14:paraId="79297404" w14:textId="77777777" w:rsidR="00544C0A" w:rsidRPr="0089212B" w:rsidRDefault="00544C0A" w:rsidP="00CC6458">
            <w:pPr>
              <w:rPr>
                <w:rFonts w:eastAsia="Verdana" w:cstheme="minorHAnsi"/>
                <w:b/>
              </w:rPr>
            </w:pPr>
            <w:r w:rsidRPr="0089212B">
              <w:rPr>
                <w:rFonts w:eastAsia="Verdana" w:cstheme="minorHAnsi"/>
                <w:b/>
              </w:rPr>
              <w:t>Sensitive Personal Data:</w:t>
            </w:r>
          </w:p>
        </w:tc>
        <w:tc>
          <w:tcPr>
            <w:tcW w:w="6731" w:type="dxa"/>
            <w:tcBorders>
              <w:top w:val="single" w:sz="4" w:space="0" w:color="000000"/>
              <w:left w:val="single" w:sz="4" w:space="0" w:color="000000"/>
              <w:bottom w:val="single" w:sz="4" w:space="0" w:color="000000"/>
              <w:right w:val="single" w:sz="4" w:space="0" w:color="000000"/>
            </w:tcBorders>
          </w:tcPr>
          <w:p w14:paraId="4654B9C3" w14:textId="77777777" w:rsidR="00544C0A" w:rsidRPr="0089212B" w:rsidRDefault="00544C0A" w:rsidP="00CC6458">
            <w:pPr>
              <w:rPr>
                <w:rFonts w:eastAsia="Verdana" w:cstheme="minorHAnsi"/>
              </w:rPr>
            </w:pPr>
            <w:r w:rsidRPr="0089212B">
              <w:rPr>
                <w:rFonts w:eastAsia="Verdana" w:cstheme="minorHAnsi"/>
              </w:rPr>
              <w:t>No</w:t>
            </w:r>
          </w:p>
        </w:tc>
      </w:tr>
    </w:tbl>
    <w:p w14:paraId="03DF73C4" w14:textId="77777777" w:rsidR="0036690D" w:rsidRPr="0089212B" w:rsidRDefault="0036690D">
      <w:pPr>
        <w:rPr>
          <w:rFonts w:cstheme="minorHAnsi"/>
          <w:u w:val="single"/>
        </w:rPr>
      </w:pPr>
    </w:p>
    <w:p w14:paraId="2E68E1C6" w14:textId="77777777" w:rsidR="0036690D" w:rsidRPr="0089212B" w:rsidRDefault="0036690D" w:rsidP="0036690D">
      <w:pPr>
        <w:rPr>
          <w:rFonts w:cstheme="minorHAnsi"/>
          <w:b/>
        </w:rPr>
      </w:pPr>
      <w:r w:rsidRPr="0089212B">
        <w:rPr>
          <w:rFonts w:cstheme="minorHAnsi"/>
          <w:b/>
        </w:rPr>
        <w:t>Rights of Data Subjects</w:t>
      </w:r>
    </w:p>
    <w:tbl>
      <w:tblPr>
        <w:tblStyle w:val="TableGrid0"/>
        <w:tblW w:w="9500" w:type="dxa"/>
        <w:tblLook w:val="04A0" w:firstRow="1" w:lastRow="0" w:firstColumn="1" w:lastColumn="0" w:noHBand="0" w:noVBand="1"/>
      </w:tblPr>
      <w:tblGrid>
        <w:gridCol w:w="2587"/>
        <w:gridCol w:w="6913"/>
      </w:tblGrid>
      <w:tr w:rsidR="0089212B" w:rsidRPr="0089212B" w14:paraId="1EE541E6" w14:textId="77777777" w:rsidTr="0043762C">
        <w:trPr>
          <w:trHeight w:val="322"/>
        </w:trPr>
        <w:tc>
          <w:tcPr>
            <w:tcW w:w="2587" w:type="dxa"/>
          </w:tcPr>
          <w:p w14:paraId="08AA2BEB" w14:textId="77777777" w:rsidR="0036690D" w:rsidRPr="0089212B" w:rsidRDefault="0036690D" w:rsidP="0043762C">
            <w:pPr>
              <w:rPr>
                <w:rFonts w:cstheme="minorHAnsi"/>
                <w:b/>
              </w:rPr>
            </w:pPr>
            <w:r w:rsidRPr="0089212B">
              <w:rPr>
                <w:rFonts w:cstheme="minorHAnsi"/>
                <w:b/>
              </w:rPr>
              <w:t>The right to be informed</w:t>
            </w:r>
          </w:p>
        </w:tc>
        <w:tc>
          <w:tcPr>
            <w:tcW w:w="6913" w:type="dxa"/>
          </w:tcPr>
          <w:p w14:paraId="036398B0" w14:textId="77777777" w:rsidR="0036690D" w:rsidRPr="0089212B" w:rsidRDefault="0036690D" w:rsidP="0043762C">
            <w:pPr>
              <w:rPr>
                <w:rFonts w:cstheme="minorHAnsi"/>
              </w:rPr>
            </w:pPr>
            <w:r w:rsidRPr="0089212B">
              <w:rPr>
                <w:rFonts w:cstheme="minorHAnsi"/>
              </w:rPr>
              <w:t xml:space="preserve">Data subjects should be clear about what, why and in what way, Personal Identifiable Information (PII) will be processed. </w:t>
            </w:r>
          </w:p>
        </w:tc>
      </w:tr>
      <w:tr w:rsidR="0089212B" w:rsidRPr="0089212B" w14:paraId="1114BAEC" w14:textId="77777777" w:rsidTr="0043762C">
        <w:trPr>
          <w:trHeight w:val="304"/>
        </w:trPr>
        <w:tc>
          <w:tcPr>
            <w:tcW w:w="2587" w:type="dxa"/>
          </w:tcPr>
          <w:p w14:paraId="5C1DE39A" w14:textId="77777777" w:rsidR="0036690D" w:rsidRPr="0089212B" w:rsidRDefault="0036690D" w:rsidP="0043762C">
            <w:pPr>
              <w:rPr>
                <w:rFonts w:cstheme="minorHAnsi"/>
                <w:b/>
              </w:rPr>
            </w:pPr>
            <w:r w:rsidRPr="0089212B">
              <w:rPr>
                <w:rFonts w:cstheme="minorHAnsi"/>
                <w:b/>
              </w:rPr>
              <w:t>The right of access</w:t>
            </w:r>
          </w:p>
        </w:tc>
        <w:tc>
          <w:tcPr>
            <w:tcW w:w="6913" w:type="dxa"/>
          </w:tcPr>
          <w:p w14:paraId="01B17CFE" w14:textId="77777777" w:rsidR="0036690D" w:rsidRPr="0089212B" w:rsidRDefault="0036690D" w:rsidP="0043762C">
            <w:pPr>
              <w:rPr>
                <w:rFonts w:cstheme="minorHAnsi"/>
              </w:rPr>
            </w:pPr>
            <w:r w:rsidRPr="0089212B">
              <w:rPr>
                <w:rFonts w:cstheme="minorHAnsi"/>
              </w:rPr>
              <w:t>Data subjects have the right to learn what PII is held on them by whom and why</w:t>
            </w:r>
          </w:p>
        </w:tc>
      </w:tr>
      <w:tr w:rsidR="0089212B" w:rsidRPr="0089212B" w14:paraId="17B6AA48" w14:textId="77777777" w:rsidTr="0043762C">
        <w:trPr>
          <w:trHeight w:val="322"/>
        </w:trPr>
        <w:tc>
          <w:tcPr>
            <w:tcW w:w="2587" w:type="dxa"/>
          </w:tcPr>
          <w:p w14:paraId="6353AE60" w14:textId="77777777" w:rsidR="0036690D" w:rsidRPr="0089212B" w:rsidRDefault="0036690D" w:rsidP="0043762C">
            <w:pPr>
              <w:rPr>
                <w:rFonts w:cstheme="minorHAnsi"/>
                <w:b/>
              </w:rPr>
            </w:pPr>
            <w:r w:rsidRPr="0089212B">
              <w:rPr>
                <w:rFonts w:cstheme="minorHAnsi"/>
                <w:b/>
              </w:rPr>
              <w:t>The right of rectification</w:t>
            </w:r>
          </w:p>
        </w:tc>
        <w:tc>
          <w:tcPr>
            <w:tcW w:w="6913" w:type="dxa"/>
          </w:tcPr>
          <w:p w14:paraId="1C558406" w14:textId="77777777" w:rsidR="0036690D" w:rsidRPr="0089212B" w:rsidRDefault="0036690D" w:rsidP="0043762C">
            <w:pPr>
              <w:rPr>
                <w:rFonts w:cstheme="minorHAnsi"/>
              </w:rPr>
            </w:pPr>
            <w:r w:rsidRPr="0089212B">
              <w:rPr>
                <w:rFonts w:cstheme="minorHAnsi"/>
              </w:rPr>
              <w:t>Data subjects can request corrections to their PII</w:t>
            </w:r>
          </w:p>
        </w:tc>
      </w:tr>
      <w:tr w:rsidR="0089212B" w:rsidRPr="0089212B" w14:paraId="78C0ED56" w14:textId="77777777" w:rsidTr="0043762C">
        <w:trPr>
          <w:trHeight w:val="304"/>
        </w:trPr>
        <w:tc>
          <w:tcPr>
            <w:tcW w:w="2587" w:type="dxa"/>
          </w:tcPr>
          <w:p w14:paraId="55AF464D" w14:textId="77777777" w:rsidR="0036690D" w:rsidRPr="0089212B" w:rsidRDefault="0036690D" w:rsidP="0043762C">
            <w:pPr>
              <w:rPr>
                <w:rFonts w:cstheme="minorHAnsi"/>
                <w:b/>
              </w:rPr>
            </w:pPr>
            <w:r w:rsidRPr="0089212B">
              <w:rPr>
                <w:rFonts w:cstheme="minorHAnsi"/>
                <w:b/>
              </w:rPr>
              <w:t>The right to erase</w:t>
            </w:r>
          </w:p>
        </w:tc>
        <w:tc>
          <w:tcPr>
            <w:tcW w:w="6913" w:type="dxa"/>
          </w:tcPr>
          <w:p w14:paraId="4028D004" w14:textId="77777777" w:rsidR="0036690D" w:rsidRPr="0089212B" w:rsidRDefault="0036690D" w:rsidP="0043762C">
            <w:pPr>
              <w:rPr>
                <w:rFonts w:cstheme="minorHAnsi"/>
              </w:rPr>
            </w:pPr>
            <w:r w:rsidRPr="0089212B">
              <w:rPr>
                <w:rFonts w:cstheme="minorHAnsi"/>
              </w:rPr>
              <w:t>Data subjects can request to be forgotten</w:t>
            </w:r>
          </w:p>
        </w:tc>
      </w:tr>
      <w:tr w:rsidR="0089212B" w:rsidRPr="0089212B" w14:paraId="7100F886" w14:textId="77777777" w:rsidTr="0043762C">
        <w:trPr>
          <w:trHeight w:val="322"/>
        </w:trPr>
        <w:tc>
          <w:tcPr>
            <w:tcW w:w="2587" w:type="dxa"/>
          </w:tcPr>
          <w:p w14:paraId="1C5DEBD0" w14:textId="77777777" w:rsidR="0036690D" w:rsidRPr="0089212B" w:rsidRDefault="0036690D" w:rsidP="0043762C">
            <w:pPr>
              <w:rPr>
                <w:rFonts w:cstheme="minorHAnsi"/>
                <w:b/>
              </w:rPr>
            </w:pPr>
            <w:r w:rsidRPr="0089212B">
              <w:rPr>
                <w:rFonts w:cstheme="minorHAnsi"/>
                <w:b/>
              </w:rPr>
              <w:t>The right to restrict processing</w:t>
            </w:r>
          </w:p>
        </w:tc>
        <w:tc>
          <w:tcPr>
            <w:tcW w:w="6913" w:type="dxa"/>
          </w:tcPr>
          <w:p w14:paraId="5A2C4FDF" w14:textId="77777777" w:rsidR="0036690D" w:rsidRPr="0089212B" w:rsidRDefault="0036690D" w:rsidP="0043762C">
            <w:pPr>
              <w:rPr>
                <w:rFonts w:cstheme="minorHAnsi"/>
              </w:rPr>
            </w:pPr>
            <w:r w:rsidRPr="0089212B">
              <w:rPr>
                <w:rFonts w:cstheme="minorHAnsi"/>
              </w:rPr>
              <w:t>Data subjects can ask organisation to stop processing their PII</w:t>
            </w:r>
          </w:p>
        </w:tc>
      </w:tr>
      <w:tr w:rsidR="0089212B" w:rsidRPr="0089212B" w14:paraId="6B34148D" w14:textId="77777777" w:rsidTr="0043762C">
        <w:trPr>
          <w:trHeight w:val="304"/>
        </w:trPr>
        <w:tc>
          <w:tcPr>
            <w:tcW w:w="2587" w:type="dxa"/>
          </w:tcPr>
          <w:p w14:paraId="4D4B16B4" w14:textId="77777777" w:rsidR="0036690D" w:rsidRPr="0089212B" w:rsidRDefault="0036690D" w:rsidP="0043762C">
            <w:pPr>
              <w:rPr>
                <w:rFonts w:cstheme="minorHAnsi"/>
                <w:b/>
              </w:rPr>
            </w:pPr>
            <w:r w:rsidRPr="0089212B">
              <w:rPr>
                <w:rFonts w:cstheme="minorHAnsi"/>
                <w:b/>
              </w:rPr>
              <w:t>The right to data portability</w:t>
            </w:r>
          </w:p>
        </w:tc>
        <w:tc>
          <w:tcPr>
            <w:tcW w:w="6913" w:type="dxa"/>
          </w:tcPr>
          <w:p w14:paraId="54B2D221" w14:textId="77777777" w:rsidR="0036690D" w:rsidRPr="0089212B" w:rsidRDefault="0036690D" w:rsidP="0043762C">
            <w:pPr>
              <w:rPr>
                <w:rFonts w:cstheme="minorHAnsi"/>
              </w:rPr>
            </w:pPr>
            <w:r w:rsidRPr="0089212B">
              <w:rPr>
                <w:rFonts w:cstheme="minorHAnsi"/>
              </w:rPr>
              <w:t xml:space="preserve">Data subjects can ask for their PII in machine readable format or to have it sent to another organisation </w:t>
            </w:r>
          </w:p>
        </w:tc>
      </w:tr>
      <w:tr w:rsidR="0089212B" w:rsidRPr="0089212B" w14:paraId="54ECD52A" w14:textId="77777777" w:rsidTr="0043762C">
        <w:trPr>
          <w:trHeight w:val="401"/>
        </w:trPr>
        <w:tc>
          <w:tcPr>
            <w:tcW w:w="2587" w:type="dxa"/>
          </w:tcPr>
          <w:p w14:paraId="480559E3" w14:textId="77777777" w:rsidR="0036690D" w:rsidRPr="0089212B" w:rsidRDefault="0036690D" w:rsidP="0043762C">
            <w:pPr>
              <w:rPr>
                <w:rFonts w:cstheme="minorHAnsi"/>
                <w:b/>
              </w:rPr>
            </w:pPr>
            <w:r w:rsidRPr="0089212B">
              <w:rPr>
                <w:rFonts w:cstheme="minorHAnsi"/>
                <w:b/>
              </w:rPr>
              <w:t>The right to object</w:t>
            </w:r>
          </w:p>
        </w:tc>
        <w:tc>
          <w:tcPr>
            <w:tcW w:w="6913" w:type="dxa"/>
          </w:tcPr>
          <w:p w14:paraId="10562C44" w14:textId="77777777" w:rsidR="0036690D" w:rsidRPr="0089212B" w:rsidRDefault="0036690D" w:rsidP="0043762C">
            <w:pPr>
              <w:rPr>
                <w:rFonts w:cstheme="minorHAnsi"/>
              </w:rPr>
            </w:pPr>
            <w:r w:rsidRPr="0089212B">
              <w:rPr>
                <w:rFonts w:cstheme="minorHAnsi"/>
              </w:rPr>
              <w:t>Data subjects can object to organisation processing their PII</w:t>
            </w:r>
          </w:p>
        </w:tc>
      </w:tr>
      <w:tr w:rsidR="0036690D" w:rsidRPr="0089212B" w14:paraId="17097EB2" w14:textId="77777777" w:rsidTr="0043762C">
        <w:trPr>
          <w:trHeight w:val="704"/>
        </w:trPr>
        <w:tc>
          <w:tcPr>
            <w:tcW w:w="2587" w:type="dxa"/>
          </w:tcPr>
          <w:p w14:paraId="1CBA8965" w14:textId="77777777" w:rsidR="0036690D" w:rsidRPr="0089212B" w:rsidRDefault="0036690D" w:rsidP="0043762C">
            <w:pPr>
              <w:rPr>
                <w:rFonts w:cstheme="minorHAnsi"/>
                <w:b/>
              </w:rPr>
            </w:pPr>
            <w:r w:rsidRPr="0089212B">
              <w:rPr>
                <w:rFonts w:cstheme="minorHAnsi"/>
                <w:b/>
              </w:rPr>
              <w:t>Automated decision making and profiling</w:t>
            </w:r>
          </w:p>
        </w:tc>
        <w:tc>
          <w:tcPr>
            <w:tcW w:w="6913" w:type="dxa"/>
          </w:tcPr>
          <w:p w14:paraId="3B35B910" w14:textId="77777777" w:rsidR="0036690D" w:rsidRPr="0089212B" w:rsidRDefault="0036690D" w:rsidP="0043762C">
            <w:pPr>
              <w:rPr>
                <w:rFonts w:cstheme="minorHAnsi"/>
              </w:rPr>
            </w:pPr>
            <w:r w:rsidRPr="0089212B">
              <w:rPr>
                <w:rFonts w:cstheme="minorHAnsi"/>
              </w:rPr>
              <w:t>Protection against targeted marketing and decision making</w:t>
            </w:r>
          </w:p>
        </w:tc>
      </w:tr>
    </w:tbl>
    <w:p w14:paraId="624E2B02" w14:textId="77777777" w:rsidR="0036690D" w:rsidRPr="0089212B" w:rsidRDefault="0036690D" w:rsidP="0036690D">
      <w:pPr>
        <w:rPr>
          <w:rFonts w:cstheme="minorHAnsi"/>
        </w:rPr>
      </w:pPr>
    </w:p>
    <w:p w14:paraId="6BD4DC57" w14:textId="7F4E61CB" w:rsidR="0036690D" w:rsidRDefault="0036690D" w:rsidP="0036690D">
      <w:pPr>
        <w:rPr>
          <w:rFonts w:cstheme="minorHAnsi"/>
        </w:rPr>
      </w:pPr>
      <w:bookmarkStart w:id="0" w:name="_Hlk502745422"/>
      <w:r w:rsidRPr="0089212B">
        <w:rPr>
          <w:rFonts w:cstheme="minorHAnsi"/>
        </w:rPr>
        <w:t>If you wish to require more information regarding rights, you can do this by consulting the Information Commissioners Office (ICO) website</w:t>
      </w:r>
      <w:r w:rsidR="00430849">
        <w:rPr>
          <w:rFonts w:cstheme="minorHAnsi"/>
        </w:rPr>
        <w:t>.</w:t>
      </w:r>
      <w:r w:rsidR="00D81A75">
        <w:rPr>
          <w:rFonts w:cstheme="minorHAnsi"/>
        </w:rPr>
        <w:t xml:space="preserve">  Or you can </w:t>
      </w:r>
      <w:r w:rsidR="00094478">
        <w:rPr>
          <w:rFonts w:cstheme="minorHAnsi"/>
        </w:rPr>
        <w:t>contact:</w:t>
      </w:r>
    </w:p>
    <w:p w14:paraId="25C43A9A" w14:textId="0C354FC7" w:rsidR="00D81A75" w:rsidRPr="0089212B" w:rsidRDefault="00D81A75" w:rsidP="0036690D">
      <w:pPr>
        <w:rPr>
          <w:rFonts w:cstheme="minorHAnsi"/>
        </w:rPr>
      </w:pPr>
      <w:r>
        <w:rPr>
          <w:rFonts w:cstheme="minorHAnsi"/>
        </w:rPr>
        <w:t>(</w:t>
      </w:r>
      <w:r w:rsidR="00493432">
        <w:rPr>
          <w:rFonts w:cstheme="minorHAnsi"/>
        </w:rPr>
        <w:t>ben@dmpayroll.co.uk</w:t>
      </w:r>
      <w:bookmarkStart w:id="1" w:name="_GoBack"/>
      <w:bookmarkEnd w:id="1"/>
      <w:r>
        <w:rPr>
          <w:rFonts w:cstheme="minorHAnsi"/>
        </w:rPr>
        <w:t>)</w:t>
      </w:r>
    </w:p>
    <w:bookmarkEnd w:id="0"/>
    <w:p w14:paraId="6015F608" w14:textId="77777777" w:rsidR="0036690D" w:rsidRPr="0089212B" w:rsidRDefault="0036690D" w:rsidP="0036690D">
      <w:pPr>
        <w:rPr>
          <w:rFonts w:cstheme="minorHAnsi"/>
        </w:rPr>
      </w:pPr>
      <w:r w:rsidRPr="0089212B">
        <w:rPr>
          <w:rFonts w:cstheme="minorHAnsi"/>
        </w:rPr>
        <w:t>Please sign and date below to confirm you understand and agree with our privacy policy.</w:t>
      </w:r>
    </w:p>
    <w:p w14:paraId="458C77A2" w14:textId="77777777" w:rsidR="0036690D" w:rsidRPr="0089212B" w:rsidRDefault="0036690D" w:rsidP="0036690D">
      <w:pPr>
        <w:rPr>
          <w:rFonts w:cstheme="minorHAnsi"/>
        </w:rPr>
      </w:pPr>
      <w:r w:rsidRPr="0089212B">
        <w:rPr>
          <w:rFonts w:cstheme="minorHAnsi"/>
        </w:rPr>
        <w:t>Signature:</w:t>
      </w:r>
    </w:p>
    <w:p w14:paraId="38D65CD1" w14:textId="77777777" w:rsidR="0036690D" w:rsidRPr="0089212B" w:rsidRDefault="0036690D" w:rsidP="0036690D">
      <w:pPr>
        <w:rPr>
          <w:rFonts w:cstheme="minorHAnsi"/>
        </w:rPr>
      </w:pPr>
      <w:r w:rsidRPr="0089212B">
        <w:rPr>
          <w:rFonts w:cstheme="minorHAnsi"/>
        </w:rPr>
        <w:t>Date:</w:t>
      </w:r>
    </w:p>
    <w:p w14:paraId="12B38509" w14:textId="77777777" w:rsidR="0036690D" w:rsidRPr="0089212B" w:rsidRDefault="0036690D"/>
    <w:sectPr w:rsidR="0036690D" w:rsidRPr="00892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D58FD"/>
    <w:multiLevelType w:val="multilevel"/>
    <w:tmpl w:val="51F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61C7B"/>
    <w:multiLevelType w:val="multilevel"/>
    <w:tmpl w:val="BDCE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E187F"/>
    <w:multiLevelType w:val="multilevel"/>
    <w:tmpl w:val="EFBC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EE4"/>
    <w:rsid w:val="00094478"/>
    <w:rsid w:val="000E4674"/>
    <w:rsid w:val="001C5428"/>
    <w:rsid w:val="00276365"/>
    <w:rsid w:val="00313C1D"/>
    <w:rsid w:val="0036690D"/>
    <w:rsid w:val="00430849"/>
    <w:rsid w:val="004451E8"/>
    <w:rsid w:val="004577D6"/>
    <w:rsid w:val="00493432"/>
    <w:rsid w:val="00544C0A"/>
    <w:rsid w:val="005B046E"/>
    <w:rsid w:val="00654820"/>
    <w:rsid w:val="006E7611"/>
    <w:rsid w:val="00800AC0"/>
    <w:rsid w:val="0089212B"/>
    <w:rsid w:val="009E14B2"/>
    <w:rsid w:val="00A03D22"/>
    <w:rsid w:val="00BC1E63"/>
    <w:rsid w:val="00C27D72"/>
    <w:rsid w:val="00CC6458"/>
    <w:rsid w:val="00CF3FA7"/>
    <w:rsid w:val="00D81A75"/>
    <w:rsid w:val="00DB33D8"/>
    <w:rsid w:val="00F64EE4"/>
    <w:rsid w:val="00F7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0118"/>
  <w15:docId w15:val="{BEF76642-0583-4E33-AA15-9502B363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6690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6690D"/>
    <w:rPr>
      <w:color w:val="0563C1" w:themeColor="hyperlink"/>
      <w:u w:val="single"/>
    </w:rPr>
  </w:style>
  <w:style w:type="table" w:styleId="TableGrid0">
    <w:name w:val="Table Grid"/>
    <w:basedOn w:val="TableNormal"/>
    <w:uiPriority w:val="39"/>
    <w:rsid w:val="0036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8362">
      <w:bodyDiv w:val="1"/>
      <w:marLeft w:val="0"/>
      <w:marRight w:val="0"/>
      <w:marTop w:val="100"/>
      <w:marBottom w:val="100"/>
      <w:divBdr>
        <w:top w:val="none" w:sz="0" w:space="0" w:color="auto"/>
        <w:left w:val="none" w:sz="0" w:space="0" w:color="auto"/>
        <w:bottom w:val="none" w:sz="0" w:space="0" w:color="auto"/>
        <w:right w:val="none" w:sz="0" w:space="0" w:color="auto"/>
      </w:divBdr>
      <w:divsChild>
        <w:div w:id="1114061082">
          <w:marLeft w:val="0"/>
          <w:marRight w:val="0"/>
          <w:marTop w:val="0"/>
          <w:marBottom w:val="0"/>
          <w:divBdr>
            <w:top w:val="none" w:sz="0" w:space="0" w:color="auto"/>
            <w:left w:val="none" w:sz="0" w:space="0" w:color="auto"/>
            <w:bottom w:val="none" w:sz="0" w:space="0" w:color="auto"/>
            <w:right w:val="none" w:sz="0" w:space="0" w:color="auto"/>
          </w:divBdr>
          <w:divsChild>
            <w:div w:id="574778891">
              <w:marLeft w:val="0"/>
              <w:marRight w:val="0"/>
              <w:marTop w:val="90"/>
              <w:marBottom w:val="0"/>
              <w:divBdr>
                <w:top w:val="none" w:sz="0" w:space="0" w:color="auto"/>
                <w:left w:val="none" w:sz="0" w:space="0" w:color="auto"/>
                <w:bottom w:val="none" w:sz="0" w:space="0" w:color="auto"/>
                <w:right w:val="none" w:sz="0" w:space="0" w:color="auto"/>
              </w:divBdr>
              <w:divsChild>
                <w:div w:id="19880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Info Pinxton Parish Council</cp:lastModifiedBy>
  <cp:revision>16</cp:revision>
  <cp:lastPrinted>2018-01-23T21:25:00Z</cp:lastPrinted>
  <dcterms:created xsi:type="dcterms:W3CDTF">2018-02-22T14:39:00Z</dcterms:created>
  <dcterms:modified xsi:type="dcterms:W3CDTF">2019-01-30T10:40:00Z</dcterms:modified>
</cp:coreProperties>
</file>